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6DC81" w14:textId="77777777" w:rsidR="00370ED0" w:rsidRPr="00370ED0" w:rsidRDefault="00370ED0" w:rsidP="00370ED0">
      <w:pPr>
        <w:tabs>
          <w:tab w:val="left" w:pos="1785"/>
          <w:tab w:val="center" w:pos="4680"/>
        </w:tabs>
        <w:rPr>
          <w:b/>
          <w:bCs/>
          <w:sz w:val="20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284D94F" w14:textId="621405DA" w:rsidR="00370ED0" w:rsidRDefault="00B86B48" w:rsidP="00370ED0">
      <w:pPr>
        <w:tabs>
          <w:tab w:val="left" w:pos="1785"/>
          <w:tab w:val="center" w:pos="4680"/>
        </w:tabs>
        <w:jc w:val="center"/>
        <w:rPr>
          <w:b/>
          <w:bCs/>
          <w:sz w:val="28"/>
          <w:szCs w:val="28"/>
        </w:rPr>
      </w:pPr>
      <w:r w:rsidRPr="00D73673">
        <w:rPr>
          <w:b/>
          <w:bCs/>
          <w:sz w:val="28"/>
          <w:szCs w:val="28"/>
        </w:rPr>
        <w:t>AAFCO COMMON FOOD INDEX PROCEDURES</w:t>
      </w:r>
    </w:p>
    <w:p w14:paraId="1FE03348" w14:textId="18B06F86" w:rsidR="00B86B48" w:rsidRPr="00D73673" w:rsidRDefault="00B86B48" w:rsidP="00806E96">
      <w:pPr>
        <w:rPr>
          <w:b/>
          <w:bCs/>
          <w:sz w:val="24"/>
          <w:szCs w:val="24"/>
        </w:rPr>
      </w:pPr>
      <w:r w:rsidRPr="00D73673">
        <w:rPr>
          <w:b/>
          <w:bCs/>
          <w:sz w:val="24"/>
          <w:szCs w:val="24"/>
        </w:rPr>
        <w:t>Introduction</w:t>
      </w:r>
    </w:p>
    <w:p w14:paraId="74904612" w14:textId="6F011816" w:rsidR="00B86B48" w:rsidRDefault="00B86B48" w:rsidP="00806E96">
      <w:pPr>
        <w:rPr>
          <w:sz w:val="24"/>
          <w:szCs w:val="24"/>
        </w:rPr>
      </w:pPr>
      <w:r>
        <w:rPr>
          <w:sz w:val="24"/>
          <w:szCs w:val="24"/>
        </w:rPr>
        <w:t>The Common Food Index Subcommittee was established by the AAFCO Ingredient Definitions Committee (IDC) as the body</w:t>
      </w:r>
      <w:r w:rsidR="00624A62">
        <w:rPr>
          <w:sz w:val="24"/>
          <w:szCs w:val="24"/>
        </w:rPr>
        <w:t xml:space="preserve"> to facilitate</w:t>
      </w:r>
      <w:r>
        <w:rPr>
          <w:sz w:val="24"/>
          <w:szCs w:val="24"/>
        </w:rPr>
        <w:t xml:space="preserve"> </w:t>
      </w:r>
      <w:r w:rsidR="00624A62">
        <w:rPr>
          <w:sz w:val="24"/>
          <w:szCs w:val="24"/>
        </w:rPr>
        <w:t xml:space="preserve">the </w:t>
      </w:r>
      <w:r w:rsidR="009153C1" w:rsidRPr="002B6110">
        <w:rPr>
          <w:sz w:val="24"/>
          <w:szCs w:val="24"/>
        </w:rPr>
        <w:t>addition of</w:t>
      </w:r>
      <w:r>
        <w:rPr>
          <w:sz w:val="24"/>
          <w:szCs w:val="24"/>
        </w:rPr>
        <w:t xml:space="preserve"> new </w:t>
      </w:r>
      <w:r w:rsidR="008F44CA">
        <w:rPr>
          <w:sz w:val="24"/>
          <w:szCs w:val="24"/>
        </w:rPr>
        <w:t>items</w:t>
      </w:r>
      <w:r>
        <w:rPr>
          <w:sz w:val="24"/>
          <w:szCs w:val="24"/>
        </w:rPr>
        <w:t xml:space="preserve"> to the Common Food Index (CFI).</w:t>
      </w:r>
      <w:r w:rsidR="0003280F">
        <w:rPr>
          <w:sz w:val="24"/>
          <w:szCs w:val="24"/>
        </w:rPr>
        <w:t xml:space="preserve"> M</w:t>
      </w:r>
      <w:r w:rsidR="009A4F64" w:rsidRPr="002C5232">
        <w:rPr>
          <w:sz w:val="24"/>
          <w:szCs w:val="24"/>
        </w:rPr>
        <w:t xml:space="preserve">embers of the CFI Subcommittee are appointed by the Chair of the Ingredient Definition Committee. The number of members, identification of the </w:t>
      </w:r>
      <w:r w:rsidR="00624A62" w:rsidRPr="002C5232">
        <w:rPr>
          <w:sz w:val="24"/>
          <w:szCs w:val="24"/>
        </w:rPr>
        <w:t>subco</w:t>
      </w:r>
      <w:bookmarkStart w:id="0" w:name="_GoBack"/>
      <w:bookmarkEnd w:id="0"/>
      <w:r w:rsidR="00624A62" w:rsidRPr="002C5232">
        <w:rPr>
          <w:sz w:val="24"/>
          <w:szCs w:val="24"/>
        </w:rPr>
        <w:t xml:space="preserve">mmittee </w:t>
      </w:r>
      <w:r w:rsidR="009A4F64" w:rsidRPr="002C5232">
        <w:rPr>
          <w:sz w:val="24"/>
          <w:szCs w:val="24"/>
        </w:rPr>
        <w:t>chair</w:t>
      </w:r>
      <w:r w:rsidR="00F80EE1">
        <w:rPr>
          <w:sz w:val="24"/>
          <w:szCs w:val="24"/>
        </w:rPr>
        <w:t>,</w:t>
      </w:r>
      <w:r w:rsidR="00A348A1" w:rsidRPr="002C5232">
        <w:rPr>
          <w:sz w:val="24"/>
          <w:szCs w:val="24"/>
        </w:rPr>
        <w:t xml:space="preserve"> and term</w:t>
      </w:r>
      <w:r w:rsidR="00624A62" w:rsidRPr="002C5232">
        <w:rPr>
          <w:sz w:val="24"/>
          <w:szCs w:val="24"/>
        </w:rPr>
        <w:t>s of service</w:t>
      </w:r>
      <w:r w:rsidR="00A348A1" w:rsidRPr="002C5232">
        <w:rPr>
          <w:sz w:val="24"/>
          <w:szCs w:val="24"/>
        </w:rPr>
        <w:t xml:space="preserve"> are at the discretion of the IDC Chair. The IDC Chair should consider the volume of work and availability of the volunteers when making these appointments.</w:t>
      </w:r>
      <w:r w:rsidR="00A348A1">
        <w:rPr>
          <w:color w:val="FF0000"/>
          <w:sz w:val="24"/>
          <w:szCs w:val="24"/>
        </w:rPr>
        <w:t xml:space="preserve">  </w:t>
      </w:r>
      <w:r w:rsidR="002C5D3C">
        <w:rPr>
          <w:sz w:val="24"/>
          <w:szCs w:val="24"/>
        </w:rPr>
        <w:t>This document will describe how</w:t>
      </w:r>
      <w:r w:rsidR="002C5D3C" w:rsidRPr="00C44520">
        <w:rPr>
          <w:color w:val="FF0000"/>
          <w:sz w:val="24"/>
          <w:szCs w:val="24"/>
        </w:rPr>
        <w:t xml:space="preserve"> </w:t>
      </w:r>
      <w:r w:rsidR="008F44CA">
        <w:rPr>
          <w:sz w:val="24"/>
          <w:szCs w:val="24"/>
        </w:rPr>
        <w:t>items</w:t>
      </w:r>
      <w:r w:rsidR="002C5D3C">
        <w:rPr>
          <w:sz w:val="24"/>
          <w:szCs w:val="24"/>
        </w:rPr>
        <w:t xml:space="preserve"> </w:t>
      </w:r>
      <w:r w:rsidR="000F1F3F">
        <w:rPr>
          <w:sz w:val="24"/>
          <w:szCs w:val="24"/>
        </w:rPr>
        <w:t xml:space="preserve">are added to the CFI. All the </w:t>
      </w:r>
      <w:r w:rsidR="008F44CA">
        <w:rPr>
          <w:sz w:val="24"/>
          <w:szCs w:val="24"/>
        </w:rPr>
        <w:t>items</w:t>
      </w:r>
      <w:r w:rsidR="000F1F3F">
        <w:rPr>
          <w:sz w:val="24"/>
          <w:szCs w:val="24"/>
        </w:rPr>
        <w:t xml:space="preserve"> in the CFI must meet the </w:t>
      </w:r>
      <w:r w:rsidR="003558B4" w:rsidRPr="000430F0">
        <w:rPr>
          <w:sz w:val="24"/>
          <w:szCs w:val="24"/>
        </w:rPr>
        <w:t xml:space="preserve">AAFCO Feed Term </w:t>
      </w:r>
      <w:r w:rsidR="000F1F3F">
        <w:rPr>
          <w:sz w:val="24"/>
          <w:szCs w:val="24"/>
        </w:rPr>
        <w:t xml:space="preserve">“Common Food” as found in the AAFCO Official Publication.  </w:t>
      </w:r>
      <w:r w:rsidR="009153C1" w:rsidRPr="002B6110">
        <w:rPr>
          <w:sz w:val="24"/>
          <w:szCs w:val="24"/>
        </w:rPr>
        <w:t xml:space="preserve">The CFI will </w:t>
      </w:r>
      <w:r w:rsidR="00455B4B" w:rsidRPr="002B6110">
        <w:rPr>
          <w:sz w:val="24"/>
          <w:szCs w:val="24"/>
        </w:rPr>
        <w:t xml:space="preserve">reside </w:t>
      </w:r>
      <w:r w:rsidR="008F44CA">
        <w:rPr>
          <w:sz w:val="24"/>
          <w:szCs w:val="24"/>
        </w:rPr>
        <w:t xml:space="preserve">on the AAFCO.org website and </w:t>
      </w:r>
      <w:r w:rsidR="00455B4B" w:rsidRPr="002B6110">
        <w:rPr>
          <w:sz w:val="24"/>
          <w:szCs w:val="24"/>
        </w:rPr>
        <w:t xml:space="preserve">within the AAFCO </w:t>
      </w:r>
      <w:r w:rsidR="0027408C" w:rsidRPr="002B6110">
        <w:rPr>
          <w:sz w:val="24"/>
          <w:szCs w:val="24"/>
        </w:rPr>
        <w:t>Online Database of Ingredients (ODI).</w:t>
      </w:r>
    </w:p>
    <w:p w14:paraId="6911AD97" w14:textId="571874BF" w:rsidR="00A61431" w:rsidRPr="00A61431" w:rsidRDefault="00A61431" w:rsidP="00806E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Procedures</w:t>
      </w:r>
    </w:p>
    <w:p w14:paraId="277E4C66" w14:textId="77E403DD" w:rsidR="000F1F3F" w:rsidRDefault="000F1F3F" w:rsidP="00806E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15CB">
        <w:rPr>
          <w:sz w:val="24"/>
          <w:szCs w:val="24"/>
        </w:rPr>
        <w:t>Suggesting</w:t>
      </w:r>
      <w:r>
        <w:rPr>
          <w:sz w:val="24"/>
          <w:szCs w:val="24"/>
        </w:rPr>
        <w:t xml:space="preserve"> additions to CFI</w:t>
      </w:r>
      <w:r w:rsidR="00044653">
        <w:rPr>
          <w:sz w:val="24"/>
          <w:szCs w:val="24"/>
        </w:rPr>
        <w:t xml:space="preserve"> – Initiating the process</w:t>
      </w:r>
    </w:p>
    <w:p w14:paraId="71DBB9FD" w14:textId="597E1515" w:rsidR="000F1F3F" w:rsidRDefault="000F1F3F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F1F3F">
        <w:rPr>
          <w:sz w:val="24"/>
          <w:szCs w:val="24"/>
        </w:rPr>
        <w:t xml:space="preserve"> </w:t>
      </w:r>
      <w:r>
        <w:rPr>
          <w:sz w:val="24"/>
          <w:szCs w:val="24"/>
        </w:rPr>
        <w:t>A suggestion may be made by any stakeholder (consumer, regulator, CFI Subcommittee, industry representative</w:t>
      </w:r>
      <w:r w:rsidR="00EC64AF">
        <w:rPr>
          <w:sz w:val="24"/>
          <w:szCs w:val="24"/>
        </w:rPr>
        <w:t>, etc</w:t>
      </w:r>
      <w:r w:rsidR="00834967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15D4054C" w14:textId="46892731" w:rsidR="00EC64AF" w:rsidRDefault="00EC64AF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s</w:t>
      </w:r>
      <w:r w:rsidR="000F1F3F">
        <w:rPr>
          <w:sz w:val="24"/>
          <w:szCs w:val="24"/>
        </w:rPr>
        <w:t xml:space="preserve">uggestion is made by completing </w:t>
      </w:r>
      <w:r>
        <w:rPr>
          <w:sz w:val="24"/>
          <w:szCs w:val="24"/>
        </w:rPr>
        <w:t>the</w:t>
      </w:r>
      <w:r w:rsidR="000F1F3F">
        <w:rPr>
          <w:sz w:val="24"/>
          <w:szCs w:val="24"/>
        </w:rPr>
        <w:t xml:space="preserve"> </w:t>
      </w:r>
      <w:r>
        <w:rPr>
          <w:sz w:val="24"/>
          <w:szCs w:val="24"/>
        </w:rPr>
        <w:t>CFI</w:t>
      </w:r>
      <w:r w:rsidR="000F1F3F">
        <w:rPr>
          <w:sz w:val="24"/>
          <w:szCs w:val="24"/>
        </w:rPr>
        <w:t xml:space="preserve"> </w:t>
      </w:r>
      <w:r w:rsidR="00044653">
        <w:rPr>
          <w:sz w:val="24"/>
          <w:szCs w:val="24"/>
        </w:rPr>
        <w:t xml:space="preserve">Worksheet </w:t>
      </w:r>
      <w:r w:rsidR="00F80EE1">
        <w:rPr>
          <w:sz w:val="24"/>
          <w:szCs w:val="24"/>
        </w:rPr>
        <w:t xml:space="preserve">found </w:t>
      </w:r>
      <w:r w:rsidR="000F1F3F">
        <w:rPr>
          <w:sz w:val="24"/>
          <w:szCs w:val="24"/>
        </w:rPr>
        <w:t>on AAFCO</w:t>
      </w:r>
      <w:r>
        <w:rPr>
          <w:sz w:val="24"/>
          <w:szCs w:val="24"/>
        </w:rPr>
        <w:t>.org</w:t>
      </w:r>
      <w:r w:rsidR="000F1F3F">
        <w:rPr>
          <w:sz w:val="24"/>
          <w:szCs w:val="24"/>
        </w:rPr>
        <w:t xml:space="preserve"> </w:t>
      </w:r>
    </w:p>
    <w:p w14:paraId="2B5776FD" w14:textId="2FDF52DC" w:rsidR="00EC64AF" w:rsidRDefault="00EC64AF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C64AF">
        <w:rPr>
          <w:sz w:val="24"/>
          <w:szCs w:val="24"/>
        </w:rPr>
        <w:t>More information may be requested by CFI subcommittee if needed/helpful to confirm that the suggestion meets the criteria in the AAFCO</w:t>
      </w:r>
      <w:r w:rsidR="007B657E">
        <w:rPr>
          <w:sz w:val="24"/>
          <w:szCs w:val="24"/>
        </w:rPr>
        <w:t xml:space="preserve"> </w:t>
      </w:r>
      <w:r w:rsidR="00F80EE1">
        <w:rPr>
          <w:sz w:val="24"/>
          <w:szCs w:val="24"/>
        </w:rPr>
        <w:t>f</w:t>
      </w:r>
      <w:r w:rsidR="007B657E" w:rsidRPr="000430F0">
        <w:rPr>
          <w:sz w:val="24"/>
          <w:szCs w:val="24"/>
        </w:rPr>
        <w:t xml:space="preserve">eed </w:t>
      </w:r>
      <w:r w:rsidR="00F80EE1">
        <w:rPr>
          <w:sz w:val="24"/>
          <w:szCs w:val="24"/>
        </w:rPr>
        <w:t>t</w:t>
      </w:r>
      <w:r w:rsidR="007B657E" w:rsidRPr="000430F0">
        <w:rPr>
          <w:sz w:val="24"/>
          <w:szCs w:val="24"/>
        </w:rPr>
        <w:t>erm</w:t>
      </w:r>
      <w:r w:rsidRPr="00EC64AF">
        <w:rPr>
          <w:sz w:val="24"/>
          <w:szCs w:val="24"/>
        </w:rPr>
        <w:t xml:space="preserve"> “Common Food” </w:t>
      </w:r>
    </w:p>
    <w:p w14:paraId="55BDDB71" w14:textId="77777777" w:rsidR="00D55DA3" w:rsidRDefault="00D55DA3" w:rsidP="00806E96">
      <w:pPr>
        <w:pStyle w:val="ListParagraph"/>
        <w:ind w:left="1440"/>
        <w:rPr>
          <w:sz w:val="24"/>
          <w:szCs w:val="24"/>
        </w:rPr>
      </w:pPr>
    </w:p>
    <w:p w14:paraId="56F641D2" w14:textId="07095769" w:rsidR="00EC64AF" w:rsidRDefault="00EC64AF" w:rsidP="00806E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Reviewing </w:t>
      </w:r>
      <w:r w:rsidR="008F44CA">
        <w:rPr>
          <w:sz w:val="24"/>
          <w:szCs w:val="24"/>
        </w:rPr>
        <w:t xml:space="preserve">the </w:t>
      </w:r>
      <w:r>
        <w:rPr>
          <w:sz w:val="24"/>
          <w:szCs w:val="24"/>
        </w:rPr>
        <w:t>suggestions received</w:t>
      </w:r>
    </w:p>
    <w:p w14:paraId="29EF66D9" w14:textId="1618D3D9" w:rsidR="00EC64AF" w:rsidRDefault="00EC64AF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CFI Subcommittee Coordinator (with the assistance of the CFI Subcommittee</w:t>
      </w:r>
      <w:r w:rsidR="008F44CA">
        <w:rPr>
          <w:sz w:val="24"/>
          <w:szCs w:val="24"/>
        </w:rPr>
        <w:t>)</w:t>
      </w:r>
      <w:r w:rsidR="00E05C06">
        <w:rPr>
          <w:sz w:val="24"/>
          <w:szCs w:val="24"/>
        </w:rPr>
        <w:t xml:space="preserve"> will review the submission. </w:t>
      </w:r>
      <w:r w:rsidR="00D314C1">
        <w:rPr>
          <w:sz w:val="24"/>
          <w:szCs w:val="24"/>
        </w:rPr>
        <w:t xml:space="preserve">The Subcommittee will notify the submitter if the </w:t>
      </w:r>
      <w:r w:rsidR="00752BCF">
        <w:rPr>
          <w:sz w:val="24"/>
          <w:szCs w:val="24"/>
        </w:rPr>
        <w:t>item</w:t>
      </w:r>
      <w:r w:rsidR="00D314C1">
        <w:rPr>
          <w:sz w:val="24"/>
          <w:szCs w:val="24"/>
        </w:rPr>
        <w:t xml:space="preserve"> will be posted for public review or if the </w:t>
      </w:r>
      <w:r w:rsidR="00752BCF">
        <w:rPr>
          <w:sz w:val="24"/>
          <w:szCs w:val="24"/>
        </w:rPr>
        <w:t>item</w:t>
      </w:r>
      <w:r w:rsidR="00D314C1">
        <w:rPr>
          <w:sz w:val="24"/>
          <w:szCs w:val="24"/>
        </w:rPr>
        <w:t xml:space="preserve"> will not be accepted by the subcommittee within 30 days of the submission. </w:t>
      </w:r>
    </w:p>
    <w:p w14:paraId="7AA18240" w14:textId="4FF630DE" w:rsidR="00EC64AF" w:rsidRPr="007B657E" w:rsidRDefault="00EC64AF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C64AF">
        <w:rPr>
          <w:sz w:val="24"/>
          <w:szCs w:val="24"/>
        </w:rPr>
        <w:t xml:space="preserve">The responses to the questions on the </w:t>
      </w:r>
      <w:r w:rsidR="00044653">
        <w:rPr>
          <w:sz w:val="24"/>
          <w:szCs w:val="24"/>
        </w:rPr>
        <w:t>worksheet</w:t>
      </w:r>
      <w:r w:rsidR="00044653" w:rsidRPr="00EC64AF">
        <w:rPr>
          <w:sz w:val="24"/>
          <w:szCs w:val="24"/>
        </w:rPr>
        <w:t xml:space="preserve"> </w:t>
      </w:r>
      <w:r w:rsidRPr="00EC64AF">
        <w:rPr>
          <w:sz w:val="24"/>
          <w:szCs w:val="24"/>
        </w:rPr>
        <w:t xml:space="preserve">broadly </w:t>
      </w:r>
      <w:r w:rsidR="001E03C3" w:rsidRPr="00EC64AF">
        <w:rPr>
          <w:sz w:val="24"/>
          <w:szCs w:val="24"/>
        </w:rPr>
        <w:t>establish</w:t>
      </w:r>
      <w:r w:rsidRPr="00EC64AF">
        <w:rPr>
          <w:sz w:val="24"/>
          <w:szCs w:val="24"/>
        </w:rPr>
        <w:t xml:space="preserve"> a profile for the suggested</w:t>
      </w:r>
      <w:r w:rsidR="008F44CA">
        <w:rPr>
          <w:sz w:val="24"/>
          <w:szCs w:val="24"/>
        </w:rPr>
        <w:t xml:space="preserve"> item</w:t>
      </w:r>
      <w:r w:rsidRPr="00EC64AF">
        <w:rPr>
          <w:sz w:val="24"/>
          <w:szCs w:val="24"/>
        </w:rPr>
        <w:t xml:space="preserve">. The profile must fit the </w:t>
      </w:r>
      <w:r w:rsidR="00624A62">
        <w:rPr>
          <w:sz w:val="24"/>
          <w:szCs w:val="24"/>
        </w:rPr>
        <w:t>criteria</w:t>
      </w:r>
      <w:r w:rsidR="00624A62" w:rsidRPr="00EC64AF">
        <w:rPr>
          <w:sz w:val="24"/>
          <w:szCs w:val="24"/>
        </w:rPr>
        <w:t xml:space="preserve"> </w:t>
      </w:r>
      <w:r w:rsidR="00624A62">
        <w:rPr>
          <w:sz w:val="24"/>
          <w:szCs w:val="24"/>
        </w:rPr>
        <w:t>set in</w:t>
      </w:r>
      <w:r w:rsidR="00624A62" w:rsidRPr="00EC64AF">
        <w:rPr>
          <w:sz w:val="24"/>
          <w:szCs w:val="24"/>
        </w:rPr>
        <w:t xml:space="preserve"> </w:t>
      </w:r>
      <w:r w:rsidRPr="00EC64AF">
        <w:rPr>
          <w:sz w:val="24"/>
          <w:szCs w:val="24"/>
        </w:rPr>
        <w:t xml:space="preserve">the AAFCO </w:t>
      </w:r>
      <w:r w:rsidR="007B657E" w:rsidRPr="000430F0">
        <w:rPr>
          <w:sz w:val="24"/>
          <w:szCs w:val="24"/>
        </w:rPr>
        <w:t>F</w:t>
      </w:r>
      <w:r w:rsidRPr="000430F0">
        <w:rPr>
          <w:sz w:val="24"/>
          <w:szCs w:val="24"/>
        </w:rPr>
        <w:t xml:space="preserve">eed </w:t>
      </w:r>
      <w:r w:rsidR="007B657E" w:rsidRPr="000430F0">
        <w:rPr>
          <w:sz w:val="24"/>
          <w:szCs w:val="24"/>
        </w:rPr>
        <w:t>T</w:t>
      </w:r>
      <w:r w:rsidRPr="000430F0">
        <w:rPr>
          <w:sz w:val="24"/>
          <w:szCs w:val="24"/>
        </w:rPr>
        <w:t>erm</w:t>
      </w:r>
      <w:r w:rsidRPr="007B657E">
        <w:rPr>
          <w:sz w:val="24"/>
          <w:szCs w:val="24"/>
        </w:rPr>
        <w:t xml:space="preserve"> </w:t>
      </w:r>
      <w:r w:rsidRPr="00EC64AF">
        <w:rPr>
          <w:sz w:val="24"/>
          <w:szCs w:val="24"/>
        </w:rPr>
        <w:t>“Common Food”</w:t>
      </w:r>
      <w:r w:rsidR="003558B4" w:rsidRPr="007B657E">
        <w:rPr>
          <w:sz w:val="24"/>
          <w:szCs w:val="24"/>
        </w:rPr>
        <w:t xml:space="preserve">                                                                        </w:t>
      </w:r>
    </w:p>
    <w:p w14:paraId="1A3DB734" w14:textId="599470BB" w:rsidR="00EC64AF" w:rsidRDefault="00EC64AF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C64AF">
        <w:rPr>
          <w:sz w:val="24"/>
          <w:szCs w:val="24"/>
        </w:rPr>
        <w:t xml:space="preserve">Review of the submissions will be conducted as they are received. </w:t>
      </w:r>
      <w:r w:rsidR="00173103">
        <w:rPr>
          <w:sz w:val="24"/>
          <w:szCs w:val="24"/>
        </w:rPr>
        <w:t>S</w:t>
      </w:r>
      <w:r w:rsidR="00D55DA3">
        <w:rPr>
          <w:sz w:val="24"/>
          <w:szCs w:val="24"/>
        </w:rPr>
        <w:t>uggestions</w:t>
      </w:r>
      <w:r w:rsidR="00173103">
        <w:rPr>
          <w:sz w:val="24"/>
          <w:szCs w:val="24"/>
        </w:rPr>
        <w:t xml:space="preserve"> that meet the AAFCO feed term </w:t>
      </w:r>
      <w:r w:rsidR="00F80EE1">
        <w:rPr>
          <w:sz w:val="24"/>
          <w:szCs w:val="24"/>
        </w:rPr>
        <w:t>“</w:t>
      </w:r>
      <w:r w:rsidR="00173103">
        <w:rPr>
          <w:sz w:val="24"/>
          <w:szCs w:val="24"/>
        </w:rPr>
        <w:t>Common Food</w:t>
      </w:r>
      <w:r w:rsidR="00F80EE1">
        <w:rPr>
          <w:sz w:val="24"/>
          <w:szCs w:val="24"/>
        </w:rPr>
        <w:t>”</w:t>
      </w:r>
      <w:r w:rsidRPr="00EC64AF">
        <w:rPr>
          <w:sz w:val="24"/>
          <w:szCs w:val="24"/>
        </w:rPr>
        <w:t xml:space="preserve"> will go for public comment</w:t>
      </w:r>
      <w:r w:rsidR="004A0DD9">
        <w:rPr>
          <w:sz w:val="24"/>
          <w:szCs w:val="24"/>
        </w:rPr>
        <w:t xml:space="preserve"> in monthly intervals</w:t>
      </w:r>
      <w:r w:rsidR="00E05C06">
        <w:rPr>
          <w:sz w:val="24"/>
          <w:szCs w:val="24"/>
        </w:rPr>
        <w:t xml:space="preserve"> </w:t>
      </w:r>
    </w:p>
    <w:p w14:paraId="6EF35291" w14:textId="1D0EDF6E" w:rsidR="00A57C74" w:rsidRPr="00F80EE1" w:rsidRDefault="00D55DA3">
      <w:pPr>
        <w:pStyle w:val="ListParagraph"/>
        <w:numPr>
          <w:ilvl w:val="1"/>
          <w:numId w:val="2"/>
        </w:numPr>
      </w:pPr>
      <w:r w:rsidRPr="008F44CA">
        <w:rPr>
          <w:sz w:val="24"/>
          <w:szCs w:val="24"/>
        </w:rPr>
        <w:t>Suggestions that do not meet the</w:t>
      </w:r>
      <w:r w:rsidR="003558B4" w:rsidRPr="008F44CA">
        <w:rPr>
          <w:sz w:val="24"/>
          <w:szCs w:val="24"/>
        </w:rPr>
        <w:t xml:space="preserve"> AAFCO</w:t>
      </w:r>
      <w:r w:rsidRPr="008F44CA">
        <w:rPr>
          <w:sz w:val="24"/>
          <w:szCs w:val="24"/>
        </w:rPr>
        <w:t xml:space="preserve"> </w:t>
      </w:r>
      <w:r w:rsidR="00F80EE1" w:rsidRPr="008F44CA">
        <w:rPr>
          <w:sz w:val="24"/>
          <w:szCs w:val="24"/>
        </w:rPr>
        <w:t>f</w:t>
      </w:r>
      <w:r w:rsidR="003558B4" w:rsidRPr="00F80EE1">
        <w:rPr>
          <w:sz w:val="24"/>
          <w:szCs w:val="24"/>
        </w:rPr>
        <w:t xml:space="preserve">eed </w:t>
      </w:r>
      <w:r w:rsidR="00F80EE1" w:rsidRPr="00F80EE1">
        <w:rPr>
          <w:sz w:val="24"/>
          <w:szCs w:val="24"/>
        </w:rPr>
        <w:t>t</w:t>
      </w:r>
      <w:r w:rsidR="003558B4" w:rsidRPr="00F80EE1">
        <w:rPr>
          <w:sz w:val="24"/>
          <w:szCs w:val="24"/>
        </w:rPr>
        <w:t>erm “C</w:t>
      </w:r>
      <w:r w:rsidRPr="00F80EE1">
        <w:rPr>
          <w:sz w:val="24"/>
          <w:szCs w:val="24"/>
        </w:rPr>
        <w:t xml:space="preserve">ommon </w:t>
      </w:r>
      <w:r w:rsidR="003558B4" w:rsidRPr="00F80EE1">
        <w:rPr>
          <w:sz w:val="24"/>
          <w:szCs w:val="24"/>
        </w:rPr>
        <w:t>F</w:t>
      </w:r>
      <w:r w:rsidRPr="00F80EE1">
        <w:rPr>
          <w:sz w:val="24"/>
          <w:szCs w:val="24"/>
        </w:rPr>
        <w:t>ood</w:t>
      </w:r>
      <w:r w:rsidR="003558B4" w:rsidRPr="00F80EE1">
        <w:rPr>
          <w:sz w:val="24"/>
          <w:szCs w:val="24"/>
        </w:rPr>
        <w:t>”</w:t>
      </w:r>
      <w:r w:rsidRPr="00F80EE1">
        <w:rPr>
          <w:sz w:val="24"/>
          <w:szCs w:val="24"/>
        </w:rPr>
        <w:t xml:space="preserve"> will </w:t>
      </w:r>
      <w:r w:rsidR="00F80EE1" w:rsidRPr="00F80EE1">
        <w:rPr>
          <w:sz w:val="24"/>
          <w:szCs w:val="24"/>
        </w:rPr>
        <w:t xml:space="preserve">also </w:t>
      </w:r>
      <w:r w:rsidRPr="00F80EE1">
        <w:rPr>
          <w:sz w:val="24"/>
          <w:szCs w:val="24"/>
        </w:rPr>
        <w:t>be</w:t>
      </w:r>
      <w:r w:rsidR="006C6FB2" w:rsidRPr="00F80EE1">
        <w:rPr>
          <w:sz w:val="24"/>
          <w:szCs w:val="24"/>
        </w:rPr>
        <w:t xml:space="preserve"> </w:t>
      </w:r>
      <w:r w:rsidRPr="00F80EE1">
        <w:rPr>
          <w:sz w:val="24"/>
          <w:szCs w:val="24"/>
        </w:rPr>
        <w:t>included in the CFI Subcommittee report to IDC</w:t>
      </w:r>
      <w:r w:rsidR="007761A2" w:rsidRPr="00F80EE1">
        <w:rPr>
          <w:sz w:val="24"/>
          <w:szCs w:val="24"/>
        </w:rPr>
        <w:t xml:space="preserve"> </w:t>
      </w:r>
      <w:r w:rsidR="00F80EE1" w:rsidRPr="00F80EE1">
        <w:rPr>
          <w:sz w:val="24"/>
          <w:szCs w:val="24"/>
        </w:rPr>
        <w:t xml:space="preserve">with explanation on </w:t>
      </w:r>
      <w:r w:rsidR="00A57C74" w:rsidRPr="00F80EE1">
        <w:t>criteria not met</w:t>
      </w:r>
      <w:r w:rsidR="00E05C06">
        <w:t xml:space="preserve">. </w:t>
      </w:r>
    </w:p>
    <w:p w14:paraId="349452AD" w14:textId="77777777" w:rsidR="002C003B" w:rsidRPr="002C003B" w:rsidRDefault="002C003B" w:rsidP="00806E96">
      <w:pPr>
        <w:pStyle w:val="ListParagraph"/>
        <w:ind w:left="1440"/>
        <w:rPr>
          <w:sz w:val="24"/>
          <w:szCs w:val="24"/>
        </w:rPr>
      </w:pPr>
    </w:p>
    <w:p w14:paraId="2F10E3A0" w14:textId="11F128DB" w:rsidR="00D55DA3" w:rsidRDefault="00D55DA3" w:rsidP="00806E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 Period</w:t>
      </w:r>
    </w:p>
    <w:p w14:paraId="3D136622" w14:textId="2929836A" w:rsidR="00F80EE1" w:rsidRPr="00F80EE1" w:rsidRDefault="00D55DA3" w:rsidP="008F44C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80EE1">
        <w:rPr>
          <w:sz w:val="24"/>
          <w:szCs w:val="24"/>
        </w:rPr>
        <w:t xml:space="preserve">Pending additions to the CFI are posted </w:t>
      </w:r>
      <w:r w:rsidR="00D314C1">
        <w:rPr>
          <w:sz w:val="24"/>
          <w:szCs w:val="24"/>
        </w:rPr>
        <w:t xml:space="preserve">monthly </w:t>
      </w:r>
      <w:r w:rsidRPr="00F80EE1">
        <w:rPr>
          <w:sz w:val="24"/>
          <w:szCs w:val="24"/>
        </w:rPr>
        <w:t>on AAFCO.org and in the Feed Bin</w:t>
      </w:r>
      <w:r w:rsidR="00F80EE1">
        <w:rPr>
          <w:sz w:val="24"/>
          <w:szCs w:val="24"/>
        </w:rPr>
        <w:t xml:space="preserve"> with submission of comments to a portal.</w:t>
      </w:r>
    </w:p>
    <w:p w14:paraId="1F85EE1A" w14:textId="79961C06" w:rsidR="00FD3C8E" w:rsidRPr="00F80EE1" w:rsidRDefault="002C5232" w:rsidP="008F44C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80EE1">
        <w:rPr>
          <w:sz w:val="24"/>
          <w:szCs w:val="24"/>
        </w:rPr>
        <w:t xml:space="preserve">A </w:t>
      </w:r>
      <w:r w:rsidR="00A57C74" w:rsidRPr="00F80EE1">
        <w:rPr>
          <w:sz w:val="24"/>
          <w:szCs w:val="24"/>
        </w:rPr>
        <w:t>notice</w:t>
      </w:r>
      <w:r w:rsidR="00FD3C8E" w:rsidRPr="00F80EE1">
        <w:rPr>
          <w:sz w:val="24"/>
          <w:szCs w:val="24"/>
        </w:rPr>
        <w:t xml:space="preserve"> </w:t>
      </w:r>
      <w:r w:rsidR="006C6FB2" w:rsidRPr="00F80EE1">
        <w:rPr>
          <w:sz w:val="24"/>
          <w:szCs w:val="24"/>
        </w:rPr>
        <w:t>t</w:t>
      </w:r>
      <w:r w:rsidR="009876FA" w:rsidRPr="00F80EE1">
        <w:rPr>
          <w:sz w:val="24"/>
          <w:szCs w:val="24"/>
        </w:rPr>
        <w:t xml:space="preserve">argeting </w:t>
      </w:r>
      <w:r w:rsidR="00FD3C8E" w:rsidRPr="00F80EE1">
        <w:rPr>
          <w:sz w:val="24"/>
          <w:szCs w:val="24"/>
        </w:rPr>
        <w:t xml:space="preserve">animal nutritionists (ARPAS), veterinarian toxicologists (ABVT), veterinarians, FDA-CVM, USDA, consumer groups, </w:t>
      </w:r>
      <w:r w:rsidR="00F80EE1" w:rsidRPr="00F80EE1">
        <w:rPr>
          <w:sz w:val="24"/>
          <w:szCs w:val="24"/>
        </w:rPr>
        <w:t xml:space="preserve">and </w:t>
      </w:r>
      <w:r w:rsidR="00FD3C8E" w:rsidRPr="00F80EE1">
        <w:rPr>
          <w:sz w:val="24"/>
          <w:szCs w:val="24"/>
        </w:rPr>
        <w:t>general public</w:t>
      </w:r>
      <w:r w:rsidRPr="00F80EE1">
        <w:rPr>
          <w:sz w:val="24"/>
          <w:szCs w:val="24"/>
        </w:rPr>
        <w:t xml:space="preserve"> is issued</w:t>
      </w:r>
      <w:r w:rsidR="00F80EE1">
        <w:rPr>
          <w:sz w:val="24"/>
          <w:szCs w:val="24"/>
        </w:rPr>
        <w:t xml:space="preserve">.  </w:t>
      </w:r>
      <w:r w:rsidRPr="00F80EE1">
        <w:rPr>
          <w:sz w:val="24"/>
          <w:szCs w:val="24"/>
        </w:rPr>
        <w:t xml:space="preserve">The </w:t>
      </w:r>
      <w:r w:rsidR="00A57C74" w:rsidRPr="00F80EE1">
        <w:rPr>
          <w:sz w:val="24"/>
          <w:szCs w:val="24"/>
        </w:rPr>
        <w:t>notice</w:t>
      </w:r>
      <w:r w:rsidR="00FD3C8E" w:rsidRPr="00F80EE1">
        <w:rPr>
          <w:sz w:val="24"/>
          <w:szCs w:val="24"/>
        </w:rPr>
        <w:t xml:space="preserve"> should encourage animal scientists to share their professional opinion including support</w:t>
      </w:r>
      <w:r w:rsidR="00F80EE1" w:rsidRPr="00F80EE1">
        <w:rPr>
          <w:sz w:val="24"/>
          <w:szCs w:val="24"/>
        </w:rPr>
        <w:t xml:space="preserve"> of/disagreement with</w:t>
      </w:r>
      <w:r w:rsidR="00FD3C8E" w:rsidRPr="00F80EE1">
        <w:rPr>
          <w:sz w:val="24"/>
          <w:szCs w:val="24"/>
        </w:rPr>
        <w:t xml:space="preserve"> inclusion into the CFI</w:t>
      </w:r>
      <w:r w:rsidR="00F80EE1">
        <w:rPr>
          <w:sz w:val="24"/>
          <w:szCs w:val="24"/>
        </w:rPr>
        <w:t>.</w:t>
      </w:r>
      <w:r w:rsidR="00FD3C8E" w:rsidRPr="00F80EE1">
        <w:rPr>
          <w:sz w:val="24"/>
          <w:szCs w:val="24"/>
        </w:rPr>
        <w:t xml:space="preserve"> </w:t>
      </w:r>
    </w:p>
    <w:p w14:paraId="043B247D" w14:textId="70745FFA" w:rsidR="00FC778C" w:rsidRPr="00FC778C" w:rsidRDefault="00D55DA3" w:rsidP="00FC77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430F0">
        <w:rPr>
          <w:sz w:val="24"/>
          <w:szCs w:val="24"/>
        </w:rPr>
        <w:t xml:space="preserve">Duration: </w:t>
      </w:r>
      <w:r w:rsidR="00FC778C" w:rsidRPr="00FC778C">
        <w:rPr>
          <w:sz w:val="24"/>
          <w:szCs w:val="24"/>
        </w:rPr>
        <w:t xml:space="preserve">Although comments on the safety of </w:t>
      </w:r>
      <w:r w:rsidR="008F44CA">
        <w:rPr>
          <w:sz w:val="24"/>
          <w:szCs w:val="24"/>
        </w:rPr>
        <w:t>items</w:t>
      </w:r>
      <w:r w:rsidR="00FC778C" w:rsidRPr="00FC778C">
        <w:rPr>
          <w:sz w:val="24"/>
          <w:szCs w:val="24"/>
        </w:rPr>
        <w:t xml:space="preserve"> listed in the Common Food Index are always accepted, comment</w:t>
      </w:r>
      <w:r w:rsidR="00FC778C">
        <w:rPr>
          <w:sz w:val="24"/>
          <w:szCs w:val="24"/>
        </w:rPr>
        <w:t>s received within 30 days of posting will be evaluated by the</w:t>
      </w:r>
      <w:r w:rsidR="00FC778C" w:rsidRPr="00FC778C">
        <w:rPr>
          <w:sz w:val="24"/>
          <w:szCs w:val="24"/>
        </w:rPr>
        <w:t xml:space="preserve"> </w:t>
      </w:r>
      <w:r w:rsidR="00FC778C">
        <w:rPr>
          <w:sz w:val="24"/>
          <w:szCs w:val="24"/>
        </w:rPr>
        <w:t>subcommittee.</w:t>
      </w:r>
      <w:r w:rsidR="00FC778C" w:rsidRPr="00FC778C">
        <w:rPr>
          <w:sz w:val="24"/>
          <w:szCs w:val="24"/>
        </w:rPr>
        <w:t xml:space="preserve">  </w:t>
      </w:r>
    </w:p>
    <w:p w14:paraId="157BADC5" w14:textId="5FD82613" w:rsidR="001D2358" w:rsidRDefault="00FD3C8E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CFI Subcommittee </w:t>
      </w:r>
      <w:r w:rsidR="001D2358">
        <w:rPr>
          <w:sz w:val="24"/>
          <w:szCs w:val="24"/>
        </w:rPr>
        <w:t>should</w:t>
      </w:r>
      <w:r>
        <w:rPr>
          <w:sz w:val="24"/>
          <w:szCs w:val="24"/>
        </w:rPr>
        <w:t xml:space="preserve"> </w:t>
      </w:r>
      <w:r w:rsidR="004A0DD9">
        <w:rPr>
          <w:sz w:val="24"/>
          <w:szCs w:val="24"/>
        </w:rPr>
        <w:t xml:space="preserve">screen </w:t>
      </w:r>
      <w:r>
        <w:rPr>
          <w:sz w:val="24"/>
          <w:szCs w:val="24"/>
        </w:rPr>
        <w:t xml:space="preserve">the comments as they are received to avoid </w:t>
      </w:r>
      <w:r w:rsidR="001D2358">
        <w:rPr>
          <w:sz w:val="24"/>
          <w:szCs w:val="24"/>
        </w:rPr>
        <w:t>a backlog</w:t>
      </w:r>
    </w:p>
    <w:p w14:paraId="71BBBD13" w14:textId="08B2B8B7" w:rsidR="001D2358" w:rsidRDefault="001D2358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D2358">
        <w:rPr>
          <w:sz w:val="24"/>
          <w:szCs w:val="24"/>
        </w:rPr>
        <w:t xml:space="preserve">Public comments are </w:t>
      </w:r>
      <w:r w:rsidR="008F44CA">
        <w:rPr>
          <w:sz w:val="24"/>
          <w:szCs w:val="24"/>
        </w:rPr>
        <w:t>reviewed</w:t>
      </w:r>
      <w:r w:rsidR="004A0DD9">
        <w:rPr>
          <w:sz w:val="24"/>
          <w:szCs w:val="24"/>
        </w:rPr>
        <w:t xml:space="preserve"> </w:t>
      </w:r>
      <w:r w:rsidRPr="001D2358">
        <w:rPr>
          <w:sz w:val="24"/>
          <w:szCs w:val="24"/>
        </w:rPr>
        <w:t xml:space="preserve">as to </w:t>
      </w:r>
      <w:r w:rsidR="00FE682E">
        <w:rPr>
          <w:sz w:val="24"/>
          <w:szCs w:val="24"/>
        </w:rPr>
        <w:t xml:space="preserve">the product’s </w:t>
      </w:r>
      <w:r w:rsidRPr="001D2358">
        <w:rPr>
          <w:sz w:val="24"/>
          <w:szCs w:val="24"/>
        </w:rPr>
        <w:t>risk, utility, and appropriateness for</w:t>
      </w:r>
      <w:r w:rsidR="00FC778C">
        <w:rPr>
          <w:sz w:val="24"/>
          <w:szCs w:val="24"/>
        </w:rPr>
        <w:t xml:space="preserve"> that </w:t>
      </w:r>
      <w:r w:rsidR="008F44CA">
        <w:rPr>
          <w:sz w:val="24"/>
          <w:szCs w:val="24"/>
        </w:rPr>
        <w:t>item’s</w:t>
      </w:r>
      <w:r w:rsidRPr="001D2358">
        <w:rPr>
          <w:sz w:val="24"/>
          <w:szCs w:val="24"/>
        </w:rPr>
        <w:t xml:space="preserve"> inclusion in the </w:t>
      </w:r>
      <w:r w:rsidR="008F44CA">
        <w:rPr>
          <w:sz w:val="24"/>
          <w:szCs w:val="24"/>
        </w:rPr>
        <w:t>CFI</w:t>
      </w:r>
      <w:r w:rsidRPr="001D2358">
        <w:rPr>
          <w:sz w:val="24"/>
          <w:szCs w:val="24"/>
        </w:rPr>
        <w:t xml:space="preserve"> by the </w:t>
      </w:r>
      <w:r w:rsidR="008F44CA">
        <w:rPr>
          <w:sz w:val="24"/>
          <w:szCs w:val="24"/>
        </w:rPr>
        <w:t xml:space="preserve">CFI </w:t>
      </w:r>
      <w:r w:rsidRPr="001D2358">
        <w:rPr>
          <w:sz w:val="24"/>
          <w:szCs w:val="24"/>
        </w:rPr>
        <w:t>Subcommittee</w:t>
      </w:r>
    </w:p>
    <w:p w14:paraId="7ED24A04" w14:textId="77777777" w:rsidR="00FC778C" w:rsidRDefault="00FC778C" w:rsidP="008F44CA">
      <w:pPr>
        <w:pStyle w:val="ListParagraph"/>
        <w:ind w:left="1440"/>
        <w:rPr>
          <w:sz w:val="24"/>
          <w:szCs w:val="24"/>
        </w:rPr>
      </w:pPr>
    </w:p>
    <w:p w14:paraId="34E3D954" w14:textId="0A77D425" w:rsidR="00DB6ED3" w:rsidRPr="001D2358" w:rsidRDefault="00DB6ED3" w:rsidP="008F44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Reporting to Ingredient Definition Committee</w:t>
      </w:r>
    </w:p>
    <w:p w14:paraId="10A1B589" w14:textId="441F7704" w:rsidR="001D2358" w:rsidRDefault="001D2358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Suggestions that pass though the </w:t>
      </w:r>
      <w:r w:rsidR="00EA3B8E">
        <w:rPr>
          <w:sz w:val="24"/>
          <w:szCs w:val="24"/>
        </w:rPr>
        <w:t xml:space="preserve">public comment period without issue </w:t>
      </w:r>
      <w:r>
        <w:rPr>
          <w:sz w:val="24"/>
          <w:szCs w:val="24"/>
        </w:rPr>
        <w:t>will be listed in the CFI Subcommittee report to IDC</w:t>
      </w:r>
    </w:p>
    <w:p w14:paraId="19859348" w14:textId="4194FF94" w:rsidR="0014404E" w:rsidRPr="008F44CA" w:rsidRDefault="001D235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Suggestions that</w:t>
      </w:r>
      <w:r w:rsidR="00C44520">
        <w:rPr>
          <w:sz w:val="24"/>
          <w:szCs w:val="24"/>
        </w:rPr>
        <w:t xml:space="preserve"> </w:t>
      </w:r>
      <w:r w:rsidRPr="00404A93">
        <w:rPr>
          <w:color w:val="000000" w:themeColor="text1"/>
          <w:sz w:val="24"/>
          <w:szCs w:val="24"/>
        </w:rPr>
        <w:t>do not</w:t>
      </w:r>
      <w:r w:rsidR="00404A93" w:rsidRPr="000430F0">
        <w:rPr>
          <w:sz w:val="24"/>
          <w:szCs w:val="24"/>
        </w:rPr>
        <w:t xml:space="preserve"> pass</w:t>
      </w:r>
      <w:r w:rsidRPr="00404A93">
        <w:rPr>
          <w:color w:val="000000" w:themeColor="text1"/>
          <w:sz w:val="24"/>
          <w:szCs w:val="24"/>
        </w:rPr>
        <w:t xml:space="preserve"> the </w:t>
      </w:r>
      <w:r w:rsidR="00D34595">
        <w:rPr>
          <w:color w:val="000000" w:themeColor="text1"/>
          <w:sz w:val="24"/>
          <w:szCs w:val="24"/>
        </w:rPr>
        <w:t>screening</w:t>
      </w:r>
      <w:r w:rsidR="00D34595" w:rsidRPr="00404A93">
        <w:rPr>
          <w:color w:val="000000" w:themeColor="text1"/>
          <w:sz w:val="24"/>
          <w:szCs w:val="24"/>
        </w:rPr>
        <w:t xml:space="preserve"> </w:t>
      </w:r>
      <w:r w:rsidRPr="00404A93">
        <w:rPr>
          <w:color w:val="000000" w:themeColor="text1"/>
          <w:sz w:val="24"/>
          <w:szCs w:val="24"/>
        </w:rPr>
        <w:t xml:space="preserve">process </w:t>
      </w:r>
      <w:r>
        <w:rPr>
          <w:sz w:val="24"/>
          <w:szCs w:val="24"/>
        </w:rPr>
        <w:t>will also be reported to IDC</w:t>
      </w:r>
      <w:r w:rsidR="00FC778C">
        <w:rPr>
          <w:sz w:val="24"/>
          <w:szCs w:val="24"/>
        </w:rPr>
        <w:t xml:space="preserve"> along with summarized comments to explain what criteria were not met</w:t>
      </w:r>
    </w:p>
    <w:p w14:paraId="2AB29C78" w14:textId="6C716BDE" w:rsidR="00FD6E4F" w:rsidRPr="004415CB" w:rsidRDefault="00FD6E4F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415CB">
        <w:rPr>
          <w:sz w:val="24"/>
          <w:szCs w:val="24"/>
        </w:rPr>
        <w:t xml:space="preserve">CFI Subcommittee shall submit their report at least 30 days prior to the next </w:t>
      </w:r>
      <w:r w:rsidR="00D34595">
        <w:rPr>
          <w:sz w:val="24"/>
          <w:szCs w:val="24"/>
        </w:rPr>
        <w:t>IDC</w:t>
      </w:r>
      <w:r w:rsidR="00D34595" w:rsidRPr="000430F0">
        <w:rPr>
          <w:sz w:val="24"/>
          <w:szCs w:val="24"/>
        </w:rPr>
        <w:t xml:space="preserve"> </w:t>
      </w:r>
      <w:r w:rsidRPr="004415CB">
        <w:rPr>
          <w:sz w:val="24"/>
          <w:szCs w:val="24"/>
        </w:rPr>
        <w:t>meeting</w:t>
      </w:r>
    </w:p>
    <w:p w14:paraId="09E3470E" w14:textId="77777777" w:rsidR="001D2358" w:rsidRDefault="001D2358" w:rsidP="00806E96">
      <w:pPr>
        <w:pStyle w:val="ListParagraph"/>
        <w:ind w:left="1440"/>
        <w:rPr>
          <w:sz w:val="24"/>
          <w:szCs w:val="24"/>
        </w:rPr>
      </w:pPr>
    </w:p>
    <w:p w14:paraId="4AFE1346" w14:textId="5581DB09" w:rsidR="001D2358" w:rsidRDefault="001D2358" w:rsidP="00806E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Acceptance</w:t>
      </w:r>
      <w:r w:rsidR="00EA3B8E">
        <w:rPr>
          <w:sz w:val="24"/>
          <w:szCs w:val="24"/>
        </w:rPr>
        <w:t xml:space="preserve"> of </w:t>
      </w:r>
      <w:r w:rsidR="00F26C4D">
        <w:rPr>
          <w:sz w:val="24"/>
          <w:szCs w:val="24"/>
        </w:rPr>
        <w:t xml:space="preserve">common foods </w:t>
      </w:r>
      <w:r>
        <w:rPr>
          <w:sz w:val="24"/>
          <w:szCs w:val="24"/>
        </w:rPr>
        <w:t>in</w:t>
      </w:r>
      <w:r w:rsidR="00EA3B8E">
        <w:rPr>
          <w:sz w:val="24"/>
          <w:szCs w:val="24"/>
        </w:rPr>
        <w:t>to</w:t>
      </w:r>
      <w:r>
        <w:rPr>
          <w:sz w:val="24"/>
          <w:szCs w:val="24"/>
        </w:rPr>
        <w:t xml:space="preserve"> the CFI</w:t>
      </w:r>
    </w:p>
    <w:p w14:paraId="39FD48A1" w14:textId="06FF918B" w:rsidR="001D2358" w:rsidRDefault="001D2358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A3B8E">
        <w:rPr>
          <w:sz w:val="24"/>
          <w:szCs w:val="24"/>
        </w:rPr>
        <w:t>IDC will vote to accept the CFI Subcommittee report</w:t>
      </w:r>
    </w:p>
    <w:p w14:paraId="157F40F7" w14:textId="64BFEFCC" w:rsidR="00EA3B8E" w:rsidRDefault="00EA3B8E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IDC can discuss the CFI Subcommittee’s findings </w:t>
      </w:r>
    </w:p>
    <w:p w14:paraId="6EEB01D4" w14:textId="77777777" w:rsidR="00EA3B8E" w:rsidRDefault="00EA3B8E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IDC has the prerogative to amend the findings</w:t>
      </w:r>
      <w:r w:rsidRPr="00EA3B8E">
        <w:rPr>
          <w:sz w:val="24"/>
          <w:szCs w:val="24"/>
        </w:rPr>
        <w:t xml:space="preserve"> </w:t>
      </w:r>
    </w:p>
    <w:p w14:paraId="338EFDF3" w14:textId="7D1ABCC9" w:rsidR="00EA3B8E" w:rsidRDefault="00EA3B8E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a separate vote, IDC shall vote </w:t>
      </w:r>
      <w:r w:rsidR="008F44CA">
        <w:rPr>
          <w:sz w:val="24"/>
          <w:szCs w:val="24"/>
        </w:rPr>
        <w:t>whether to</w:t>
      </w:r>
      <w:r>
        <w:rPr>
          <w:sz w:val="24"/>
          <w:szCs w:val="24"/>
        </w:rPr>
        <w:t xml:space="preserve"> accept the </w:t>
      </w:r>
      <w:r w:rsidR="000430F0">
        <w:rPr>
          <w:sz w:val="24"/>
          <w:szCs w:val="24"/>
        </w:rPr>
        <w:t>recommendations for indexing</w:t>
      </w:r>
      <w:r>
        <w:rPr>
          <w:sz w:val="24"/>
          <w:szCs w:val="24"/>
        </w:rPr>
        <w:t xml:space="preserve"> with or without modifications</w:t>
      </w:r>
      <w:r w:rsidR="00D17060">
        <w:rPr>
          <w:sz w:val="24"/>
          <w:szCs w:val="24"/>
        </w:rPr>
        <w:t xml:space="preserve"> </w:t>
      </w:r>
    </w:p>
    <w:p w14:paraId="4B54E121" w14:textId="58CFEF5B" w:rsidR="00EA3B8E" w:rsidRDefault="00F26C4D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Upon acceptance of the IDC meeting minutes by the </w:t>
      </w:r>
      <w:r w:rsidR="00041E2B">
        <w:rPr>
          <w:sz w:val="24"/>
          <w:szCs w:val="24"/>
        </w:rPr>
        <w:t>AAFCO Board of Directors</w:t>
      </w:r>
      <w:r>
        <w:rPr>
          <w:sz w:val="24"/>
          <w:szCs w:val="24"/>
        </w:rPr>
        <w:t xml:space="preserve">, the new common foods will be added to the CFI. </w:t>
      </w:r>
    </w:p>
    <w:p w14:paraId="17C0EB6C" w14:textId="3C1E64CE" w:rsidR="00EA3B8E" w:rsidRDefault="00EA3B8E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New additions will be noted in the ODI Change Table found </w:t>
      </w:r>
      <w:r w:rsidR="00ED44FF">
        <w:rPr>
          <w:sz w:val="24"/>
          <w:szCs w:val="24"/>
        </w:rPr>
        <w:t xml:space="preserve">in </w:t>
      </w:r>
      <w:r>
        <w:rPr>
          <w:sz w:val="24"/>
          <w:szCs w:val="24"/>
        </w:rPr>
        <w:t>the AAFCO Official Publication</w:t>
      </w:r>
      <w:r w:rsidR="00CB269B">
        <w:rPr>
          <w:sz w:val="24"/>
          <w:szCs w:val="24"/>
        </w:rPr>
        <w:t xml:space="preserve"> </w:t>
      </w:r>
      <w:r w:rsidR="00ED44FF">
        <w:rPr>
          <w:sz w:val="24"/>
          <w:szCs w:val="24"/>
        </w:rPr>
        <w:t>biannually</w:t>
      </w:r>
      <w:r w:rsidR="00041E2B">
        <w:rPr>
          <w:sz w:val="24"/>
          <w:szCs w:val="24"/>
        </w:rPr>
        <w:t>.</w:t>
      </w:r>
    </w:p>
    <w:p w14:paraId="329C4B15" w14:textId="77777777" w:rsidR="00CB269B" w:rsidRDefault="00CB269B" w:rsidP="00806E96">
      <w:pPr>
        <w:pStyle w:val="ListParagraph"/>
        <w:ind w:left="1440"/>
        <w:rPr>
          <w:sz w:val="24"/>
          <w:szCs w:val="24"/>
        </w:rPr>
      </w:pPr>
    </w:p>
    <w:p w14:paraId="51320D6D" w14:textId="05522614" w:rsidR="00CB269B" w:rsidRDefault="00CB269B" w:rsidP="00806E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Removal of </w:t>
      </w:r>
      <w:r w:rsidR="00F26C4D">
        <w:rPr>
          <w:sz w:val="24"/>
          <w:szCs w:val="24"/>
        </w:rPr>
        <w:t xml:space="preserve">indexed items </w:t>
      </w:r>
      <w:r>
        <w:rPr>
          <w:sz w:val="24"/>
          <w:szCs w:val="24"/>
        </w:rPr>
        <w:t>from the CFI</w:t>
      </w:r>
    </w:p>
    <w:p w14:paraId="19081CF3" w14:textId="1841272C" w:rsidR="00CB269B" w:rsidRDefault="00957D67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CFI Subcommittee</w:t>
      </w:r>
      <w:r w:rsidR="00404A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receives new information that raises a safety </w:t>
      </w:r>
      <w:r w:rsidR="00834967">
        <w:rPr>
          <w:sz w:val="24"/>
          <w:szCs w:val="24"/>
        </w:rPr>
        <w:t xml:space="preserve">or other </w:t>
      </w:r>
      <w:r>
        <w:rPr>
          <w:sz w:val="24"/>
          <w:szCs w:val="24"/>
        </w:rPr>
        <w:t>concern</w:t>
      </w:r>
      <w:r w:rsidR="00041E2B">
        <w:rPr>
          <w:sz w:val="24"/>
          <w:szCs w:val="24"/>
        </w:rPr>
        <w:t>.</w:t>
      </w:r>
    </w:p>
    <w:p w14:paraId="62D75899" w14:textId="16888034" w:rsidR="00957D67" w:rsidRDefault="00957D67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CFI Subcommittee immediately alerts the IDC chair of the new information and may recommend the removal of the </w:t>
      </w:r>
      <w:r w:rsidR="00F26C4D">
        <w:rPr>
          <w:sz w:val="24"/>
          <w:szCs w:val="24"/>
        </w:rPr>
        <w:t>indexed item</w:t>
      </w:r>
      <w:r w:rsidR="00ED583C">
        <w:rPr>
          <w:sz w:val="24"/>
          <w:szCs w:val="24"/>
        </w:rPr>
        <w:t xml:space="preserve"> </w:t>
      </w:r>
      <w:r>
        <w:rPr>
          <w:sz w:val="24"/>
          <w:szCs w:val="24"/>
        </w:rPr>
        <w:t>from the CFI</w:t>
      </w:r>
      <w:r w:rsidR="00041E2B">
        <w:rPr>
          <w:sz w:val="24"/>
          <w:szCs w:val="24"/>
        </w:rPr>
        <w:t>.</w:t>
      </w:r>
    </w:p>
    <w:p w14:paraId="543A6626" w14:textId="0DAB193B" w:rsidR="00957D67" w:rsidRDefault="00957D67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57D67">
        <w:rPr>
          <w:sz w:val="24"/>
          <w:szCs w:val="24"/>
        </w:rPr>
        <w:t xml:space="preserve">The IDC chair may elect to remove the item immediately from the CFI </w:t>
      </w:r>
      <w:r w:rsidR="00ED44FF">
        <w:rPr>
          <w:sz w:val="24"/>
          <w:szCs w:val="24"/>
        </w:rPr>
        <w:t xml:space="preserve">in </w:t>
      </w:r>
      <w:r w:rsidR="00D73673">
        <w:rPr>
          <w:sz w:val="24"/>
          <w:szCs w:val="24"/>
        </w:rPr>
        <w:t xml:space="preserve">the case of </w:t>
      </w:r>
      <w:r w:rsidR="00ED44FF">
        <w:rPr>
          <w:sz w:val="24"/>
          <w:szCs w:val="24"/>
        </w:rPr>
        <w:t>an emergency</w:t>
      </w:r>
      <w:r w:rsidR="00D73673">
        <w:rPr>
          <w:sz w:val="24"/>
          <w:szCs w:val="24"/>
        </w:rPr>
        <w:t>,</w:t>
      </w:r>
      <w:r w:rsidR="00ED44FF">
        <w:rPr>
          <w:sz w:val="24"/>
          <w:szCs w:val="24"/>
        </w:rPr>
        <w:t xml:space="preserve"> </w:t>
      </w:r>
      <w:r w:rsidRPr="00957D67">
        <w:rPr>
          <w:sz w:val="24"/>
          <w:szCs w:val="24"/>
        </w:rPr>
        <w:t xml:space="preserve">or </w:t>
      </w:r>
      <w:r w:rsidR="00ED44FF">
        <w:rPr>
          <w:sz w:val="24"/>
          <w:szCs w:val="24"/>
        </w:rPr>
        <w:t xml:space="preserve">otherwise refer to </w:t>
      </w:r>
      <w:r w:rsidRPr="00957D67">
        <w:rPr>
          <w:sz w:val="24"/>
          <w:szCs w:val="24"/>
        </w:rPr>
        <w:t xml:space="preserve">IDC </w:t>
      </w:r>
      <w:r w:rsidR="00ED44FF">
        <w:rPr>
          <w:sz w:val="24"/>
          <w:szCs w:val="24"/>
        </w:rPr>
        <w:t xml:space="preserve">for </w:t>
      </w:r>
      <w:r w:rsidRPr="00957D67">
        <w:rPr>
          <w:sz w:val="24"/>
          <w:szCs w:val="24"/>
        </w:rPr>
        <w:t>vote</w:t>
      </w:r>
      <w:r w:rsidR="00041E2B">
        <w:rPr>
          <w:sz w:val="24"/>
          <w:szCs w:val="24"/>
        </w:rPr>
        <w:t>.</w:t>
      </w:r>
      <w:r w:rsidRPr="00957D67">
        <w:rPr>
          <w:sz w:val="24"/>
          <w:szCs w:val="24"/>
        </w:rPr>
        <w:t xml:space="preserve"> </w:t>
      </w:r>
    </w:p>
    <w:p w14:paraId="796E9D46" w14:textId="77F3AF74" w:rsidR="00957D67" w:rsidRDefault="00957D67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57D67">
        <w:rPr>
          <w:sz w:val="24"/>
          <w:szCs w:val="24"/>
        </w:rPr>
        <w:t>The CFI Subcommittee recommendation to IDC chair will be reported to the IDC</w:t>
      </w:r>
      <w:r w:rsidR="00041E2B">
        <w:rPr>
          <w:sz w:val="24"/>
          <w:szCs w:val="24"/>
        </w:rPr>
        <w:t>.</w:t>
      </w:r>
    </w:p>
    <w:p w14:paraId="3CA37349" w14:textId="1F15F42B" w:rsidR="00957D67" w:rsidRDefault="00957D67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57D67">
        <w:rPr>
          <w:sz w:val="24"/>
          <w:szCs w:val="24"/>
        </w:rPr>
        <w:t>IDC shall acknowledge the removal at its next meeting by accepting the CFI Subcommittee report. The IDC has the prerogative to override the removal</w:t>
      </w:r>
      <w:r w:rsidR="00041E2B">
        <w:rPr>
          <w:sz w:val="24"/>
          <w:szCs w:val="24"/>
        </w:rPr>
        <w:t>.</w:t>
      </w:r>
    </w:p>
    <w:p w14:paraId="268AF317" w14:textId="73B260EE" w:rsidR="004A0EBF" w:rsidRPr="004A0EBF" w:rsidRDefault="00957D67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57D67">
        <w:rPr>
          <w:sz w:val="24"/>
          <w:szCs w:val="24"/>
        </w:rPr>
        <w:t xml:space="preserve">Items removed from the CFI shall be posted on </w:t>
      </w:r>
      <w:r w:rsidR="004953A0">
        <w:rPr>
          <w:sz w:val="24"/>
          <w:szCs w:val="24"/>
        </w:rPr>
        <w:t xml:space="preserve">the “Withdrawn from CFI” </w:t>
      </w:r>
      <w:r w:rsidRPr="00957D67">
        <w:rPr>
          <w:sz w:val="24"/>
          <w:szCs w:val="24"/>
        </w:rPr>
        <w:t>list</w:t>
      </w:r>
      <w:r w:rsidR="00ED583C">
        <w:rPr>
          <w:sz w:val="24"/>
          <w:szCs w:val="24"/>
        </w:rPr>
        <w:t xml:space="preserve"> in the IDC library in the </w:t>
      </w:r>
      <w:r w:rsidR="004953A0">
        <w:rPr>
          <w:sz w:val="24"/>
          <w:szCs w:val="24"/>
        </w:rPr>
        <w:t xml:space="preserve">Feed </w:t>
      </w:r>
      <w:r w:rsidR="00ED583C">
        <w:rPr>
          <w:sz w:val="24"/>
          <w:szCs w:val="24"/>
        </w:rPr>
        <w:t>BIN</w:t>
      </w:r>
      <w:r w:rsidR="00041E2B">
        <w:rPr>
          <w:sz w:val="24"/>
          <w:szCs w:val="24"/>
        </w:rPr>
        <w:t>.</w:t>
      </w:r>
      <w:r w:rsidRPr="00957D67">
        <w:rPr>
          <w:sz w:val="24"/>
          <w:szCs w:val="24"/>
        </w:rPr>
        <w:t xml:space="preserve"> </w:t>
      </w:r>
    </w:p>
    <w:p w14:paraId="726B9C53" w14:textId="77777777" w:rsidR="00D73673" w:rsidRPr="004A0EBF" w:rsidRDefault="00D73673" w:rsidP="00806E96">
      <w:pPr>
        <w:pStyle w:val="ListParagraph"/>
        <w:ind w:left="1440"/>
        <w:rPr>
          <w:sz w:val="24"/>
          <w:szCs w:val="24"/>
        </w:rPr>
      </w:pPr>
    </w:p>
    <w:p w14:paraId="3F3C6F3A" w14:textId="259EE11D" w:rsidR="00957D67" w:rsidRDefault="00957D67" w:rsidP="00806E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Appeal Process</w:t>
      </w:r>
    </w:p>
    <w:p w14:paraId="55F548BC" w14:textId="68961F00" w:rsidR="00F14A5D" w:rsidRDefault="00957D67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14A5D">
        <w:rPr>
          <w:sz w:val="24"/>
          <w:szCs w:val="24"/>
        </w:rPr>
        <w:t>Any</w:t>
      </w:r>
      <w:r w:rsidR="00583D6D" w:rsidRPr="00F14A5D">
        <w:rPr>
          <w:sz w:val="24"/>
          <w:szCs w:val="24"/>
        </w:rPr>
        <w:t xml:space="preserve"> stakeholder</w:t>
      </w:r>
      <w:r w:rsidRPr="00F14A5D">
        <w:rPr>
          <w:sz w:val="24"/>
          <w:szCs w:val="24"/>
        </w:rPr>
        <w:t xml:space="preserve"> may appeal an IDC decision regarding </w:t>
      </w:r>
      <w:r w:rsidR="00583D6D" w:rsidRPr="00F14A5D">
        <w:rPr>
          <w:sz w:val="24"/>
          <w:szCs w:val="24"/>
        </w:rPr>
        <w:t xml:space="preserve">CFI </w:t>
      </w:r>
      <w:r w:rsidR="00041E2B">
        <w:rPr>
          <w:sz w:val="24"/>
          <w:szCs w:val="24"/>
        </w:rPr>
        <w:t>listings</w:t>
      </w:r>
      <w:r w:rsidR="00F67561">
        <w:rPr>
          <w:sz w:val="24"/>
          <w:szCs w:val="24"/>
        </w:rPr>
        <w:t xml:space="preserve"> by providing further information for the subcommittee to evaluate</w:t>
      </w:r>
      <w:r w:rsidR="00041E2B">
        <w:rPr>
          <w:sz w:val="24"/>
          <w:szCs w:val="24"/>
        </w:rPr>
        <w:t>.</w:t>
      </w:r>
    </w:p>
    <w:p w14:paraId="60086BE0" w14:textId="62302CCC" w:rsidR="00583D6D" w:rsidRDefault="00583D6D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14A5D">
        <w:rPr>
          <w:sz w:val="24"/>
          <w:szCs w:val="24"/>
        </w:rPr>
        <w:t>Actions subject to appeal</w:t>
      </w:r>
    </w:p>
    <w:p w14:paraId="6D337A3A" w14:textId="12D059C8" w:rsidR="00F67561" w:rsidRPr="00F14A5D" w:rsidRDefault="00F67561" w:rsidP="00F6756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Subcommittee decision to not accept for public review</w:t>
      </w:r>
    </w:p>
    <w:p w14:paraId="74ED0A25" w14:textId="6C9D0CFE" w:rsidR="00583D6D" w:rsidRPr="00583D6D" w:rsidRDefault="00583D6D" w:rsidP="00806E96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583D6D">
        <w:rPr>
          <w:sz w:val="24"/>
          <w:szCs w:val="24"/>
        </w:rPr>
        <w:t>IDC decision to accept or not to accept an item for inclusion in the CFI</w:t>
      </w:r>
    </w:p>
    <w:p w14:paraId="44AB2627" w14:textId="77777777" w:rsidR="00583D6D" w:rsidRPr="00237439" w:rsidRDefault="00583D6D" w:rsidP="00806E9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IDC decision to remove an item from the CFI</w:t>
      </w:r>
    </w:p>
    <w:p w14:paraId="755F898C" w14:textId="6032BD42" w:rsidR="00583D6D" w:rsidRDefault="00583D6D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</w:t>
      </w:r>
      <w:r w:rsidRPr="00237439">
        <w:rPr>
          <w:sz w:val="24"/>
          <w:szCs w:val="24"/>
        </w:rPr>
        <w:t xml:space="preserve"> appeal can be submitted by </w:t>
      </w:r>
      <w:r w:rsidR="004953A0">
        <w:rPr>
          <w:sz w:val="24"/>
          <w:szCs w:val="24"/>
        </w:rPr>
        <w:t xml:space="preserve">emailing </w:t>
      </w:r>
      <w:hyperlink r:id="rId8" w:history="1">
        <w:r w:rsidR="004953A0" w:rsidRPr="00DF1066">
          <w:rPr>
            <w:rStyle w:val="Hyperlink"/>
            <w:sz w:val="24"/>
            <w:szCs w:val="24"/>
          </w:rPr>
          <w:t>aafco@aafco.org</w:t>
        </w:r>
      </w:hyperlink>
      <w:r w:rsidR="004953A0">
        <w:rPr>
          <w:sz w:val="24"/>
          <w:szCs w:val="24"/>
        </w:rPr>
        <w:t xml:space="preserve"> </w:t>
      </w:r>
    </w:p>
    <w:p w14:paraId="40676321" w14:textId="09EA69B3" w:rsidR="00920208" w:rsidRDefault="00997B76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While there is no deadline to file an appeal, it is preferred that one </w:t>
      </w:r>
      <w:r w:rsidR="008A276A">
        <w:rPr>
          <w:sz w:val="24"/>
          <w:szCs w:val="24"/>
        </w:rPr>
        <w:t>is</w:t>
      </w:r>
      <w:r>
        <w:rPr>
          <w:sz w:val="24"/>
          <w:szCs w:val="24"/>
        </w:rPr>
        <w:t xml:space="preserve"> filed as early as possible</w:t>
      </w:r>
      <w:r w:rsidR="00041E2B" w:rsidRPr="00041E2B">
        <w:rPr>
          <w:sz w:val="24"/>
          <w:szCs w:val="24"/>
        </w:rPr>
        <w:t xml:space="preserve"> </w:t>
      </w:r>
      <w:r w:rsidR="00041E2B">
        <w:rPr>
          <w:sz w:val="24"/>
          <w:szCs w:val="24"/>
        </w:rPr>
        <w:t>after the IDC vote on the item in question</w:t>
      </w:r>
      <w:r>
        <w:rPr>
          <w:sz w:val="24"/>
          <w:szCs w:val="24"/>
        </w:rPr>
        <w:t xml:space="preserve"> to avoid </w:t>
      </w:r>
      <w:r w:rsidR="008A276A">
        <w:rPr>
          <w:sz w:val="24"/>
          <w:szCs w:val="24"/>
        </w:rPr>
        <w:t xml:space="preserve">unnecessary or duplicative work. </w:t>
      </w:r>
    </w:p>
    <w:p w14:paraId="6D2CBA11" w14:textId="490934B8" w:rsidR="00583D6D" w:rsidRDefault="00583D6D" w:rsidP="00806E9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appeal will be discussed by the CFI Subcommittee</w:t>
      </w:r>
      <w:r w:rsidR="00041E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41E2B">
        <w:rPr>
          <w:sz w:val="24"/>
          <w:szCs w:val="24"/>
        </w:rPr>
        <w:t xml:space="preserve">The subcommittee’s </w:t>
      </w:r>
      <w:r>
        <w:rPr>
          <w:sz w:val="24"/>
          <w:szCs w:val="24"/>
        </w:rPr>
        <w:t xml:space="preserve">recommendation shall be included in the </w:t>
      </w:r>
      <w:r w:rsidR="00920208">
        <w:rPr>
          <w:sz w:val="24"/>
          <w:szCs w:val="24"/>
        </w:rPr>
        <w:t xml:space="preserve">next </w:t>
      </w:r>
      <w:r>
        <w:rPr>
          <w:sz w:val="24"/>
          <w:szCs w:val="24"/>
        </w:rPr>
        <w:t>CFI Subcommittee report to the IDC</w:t>
      </w:r>
      <w:r w:rsidR="00041E2B">
        <w:rPr>
          <w:sz w:val="24"/>
          <w:szCs w:val="24"/>
        </w:rPr>
        <w:t>.</w:t>
      </w:r>
    </w:p>
    <w:p w14:paraId="678DC32D" w14:textId="01385170" w:rsidR="00EC64AF" w:rsidRPr="004953A0" w:rsidRDefault="00583D6D" w:rsidP="008F44C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953A0">
        <w:rPr>
          <w:sz w:val="24"/>
          <w:szCs w:val="24"/>
        </w:rPr>
        <w:t>The IDC’s vote on the appeal is final</w:t>
      </w:r>
      <w:r w:rsidR="00041E2B">
        <w:rPr>
          <w:sz w:val="24"/>
          <w:szCs w:val="24"/>
        </w:rPr>
        <w:t>.</w:t>
      </w:r>
      <w:r w:rsidRPr="004953A0">
        <w:rPr>
          <w:sz w:val="24"/>
          <w:szCs w:val="24"/>
        </w:rPr>
        <w:t xml:space="preserve"> </w:t>
      </w:r>
    </w:p>
    <w:p w14:paraId="776BEED5" w14:textId="77777777" w:rsidR="007B657E" w:rsidRDefault="007B657E" w:rsidP="00806E96">
      <w:pPr>
        <w:rPr>
          <w:sz w:val="24"/>
          <w:szCs w:val="24"/>
        </w:rPr>
      </w:pPr>
    </w:p>
    <w:p w14:paraId="43B331A2" w14:textId="04B8B30E" w:rsidR="00B86B48" w:rsidRPr="00B86B48" w:rsidRDefault="00B86B48" w:rsidP="00806E96">
      <w:pPr>
        <w:rPr>
          <w:sz w:val="24"/>
          <w:szCs w:val="24"/>
        </w:rPr>
      </w:pPr>
    </w:p>
    <w:sectPr w:rsidR="00B86B48" w:rsidRPr="00B86B48" w:rsidSect="007F798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6B260" w14:textId="77777777" w:rsidR="0059678C" w:rsidRDefault="0059678C" w:rsidP="00B86B48">
      <w:pPr>
        <w:spacing w:after="0" w:line="240" w:lineRule="auto"/>
      </w:pPr>
      <w:r>
        <w:separator/>
      </w:r>
    </w:p>
  </w:endnote>
  <w:endnote w:type="continuationSeparator" w:id="0">
    <w:p w14:paraId="0461C0AA" w14:textId="77777777" w:rsidR="0059678C" w:rsidRDefault="0059678C" w:rsidP="00B8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94A3" w14:textId="20AFB0AB" w:rsidR="008F44CA" w:rsidRDefault="00F67561">
    <w:pPr>
      <w:pStyle w:val="Footer"/>
    </w:pPr>
    <w:r>
      <w:t>Final Draft</w:t>
    </w:r>
    <w:r w:rsidR="00370ED0">
      <w:t xml:space="preserve"> – 2/23/23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2551B" w14:textId="77777777" w:rsidR="0059678C" w:rsidRDefault="0059678C" w:rsidP="00B86B48">
      <w:pPr>
        <w:spacing w:after="0" w:line="240" w:lineRule="auto"/>
      </w:pPr>
      <w:r>
        <w:separator/>
      </w:r>
    </w:p>
  </w:footnote>
  <w:footnote w:type="continuationSeparator" w:id="0">
    <w:p w14:paraId="25FA0693" w14:textId="77777777" w:rsidR="0059678C" w:rsidRDefault="0059678C" w:rsidP="00B8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4ACE" w14:textId="627C9FF4" w:rsidR="000D317C" w:rsidRDefault="00370ED0" w:rsidP="00370ED0">
    <w:pPr>
      <w:pStyle w:val="Header"/>
      <w:jc w:val="center"/>
    </w:pPr>
    <w:r>
      <w:rPr>
        <w:noProof/>
      </w:rPr>
      <w:drawing>
        <wp:inline distT="0" distB="0" distL="0" distR="0" wp14:anchorId="62114F0C" wp14:editId="589F5C3C">
          <wp:extent cx="3546458" cy="10972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6458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7594"/>
    <w:multiLevelType w:val="hybridMultilevel"/>
    <w:tmpl w:val="E2D6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3E66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C5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C7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E6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C8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65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CF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EB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4074CA"/>
    <w:multiLevelType w:val="hybridMultilevel"/>
    <w:tmpl w:val="A420E264"/>
    <w:lvl w:ilvl="0" w:tplc="479A3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6C2A"/>
    <w:multiLevelType w:val="hybridMultilevel"/>
    <w:tmpl w:val="A02EA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48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2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A3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4A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0E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A4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EE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C8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862D99"/>
    <w:multiLevelType w:val="hybridMultilevel"/>
    <w:tmpl w:val="EEDAA3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58779A"/>
    <w:multiLevelType w:val="hybridMultilevel"/>
    <w:tmpl w:val="C8D2D6AE"/>
    <w:lvl w:ilvl="0" w:tplc="479A3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8211E"/>
    <w:multiLevelType w:val="hybridMultilevel"/>
    <w:tmpl w:val="257E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73"/>
    <w:rsid w:val="00003CBA"/>
    <w:rsid w:val="0003280F"/>
    <w:rsid w:val="00041E2B"/>
    <w:rsid w:val="00042E6A"/>
    <w:rsid w:val="000430F0"/>
    <w:rsid w:val="00044653"/>
    <w:rsid w:val="00045A25"/>
    <w:rsid w:val="000C6CD7"/>
    <w:rsid w:val="000D317C"/>
    <w:rsid w:val="000F1F3F"/>
    <w:rsid w:val="001172D0"/>
    <w:rsid w:val="00120962"/>
    <w:rsid w:val="00131B39"/>
    <w:rsid w:val="0014404E"/>
    <w:rsid w:val="00173103"/>
    <w:rsid w:val="00174773"/>
    <w:rsid w:val="0018778F"/>
    <w:rsid w:val="001D2358"/>
    <w:rsid w:val="001E03C3"/>
    <w:rsid w:val="00225FCD"/>
    <w:rsid w:val="0027408C"/>
    <w:rsid w:val="002838E5"/>
    <w:rsid w:val="002A5CA6"/>
    <w:rsid w:val="002B6110"/>
    <w:rsid w:val="002C003B"/>
    <w:rsid w:val="002C5232"/>
    <w:rsid w:val="002C5D3C"/>
    <w:rsid w:val="002E20E0"/>
    <w:rsid w:val="002E23A6"/>
    <w:rsid w:val="0030191B"/>
    <w:rsid w:val="003558B4"/>
    <w:rsid w:val="00370ED0"/>
    <w:rsid w:val="00395EC9"/>
    <w:rsid w:val="003C6B5C"/>
    <w:rsid w:val="00404A93"/>
    <w:rsid w:val="004077DB"/>
    <w:rsid w:val="004415CB"/>
    <w:rsid w:val="00455B4B"/>
    <w:rsid w:val="00465687"/>
    <w:rsid w:val="004953A0"/>
    <w:rsid w:val="004A0DD9"/>
    <w:rsid w:val="004A0EBF"/>
    <w:rsid w:val="004E45F1"/>
    <w:rsid w:val="005036AB"/>
    <w:rsid w:val="00520B5D"/>
    <w:rsid w:val="00583D6D"/>
    <w:rsid w:val="0059678C"/>
    <w:rsid w:val="005E69AA"/>
    <w:rsid w:val="0061445E"/>
    <w:rsid w:val="00622C2A"/>
    <w:rsid w:val="00624A62"/>
    <w:rsid w:val="006668A7"/>
    <w:rsid w:val="00697B9F"/>
    <w:rsid w:val="006C6FB2"/>
    <w:rsid w:val="006C72F3"/>
    <w:rsid w:val="00752BCF"/>
    <w:rsid w:val="007761A2"/>
    <w:rsid w:val="007B657E"/>
    <w:rsid w:val="007C3F7D"/>
    <w:rsid w:val="007F7989"/>
    <w:rsid w:val="00806E96"/>
    <w:rsid w:val="008257C0"/>
    <w:rsid w:val="00834967"/>
    <w:rsid w:val="008A276A"/>
    <w:rsid w:val="008F44CA"/>
    <w:rsid w:val="008F47E7"/>
    <w:rsid w:val="0090060B"/>
    <w:rsid w:val="009153C1"/>
    <w:rsid w:val="00920208"/>
    <w:rsid w:val="00933C44"/>
    <w:rsid w:val="00951226"/>
    <w:rsid w:val="009541D2"/>
    <w:rsid w:val="00957D67"/>
    <w:rsid w:val="00986649"/>
    <w:rsid w:val="009876FA"/>
    <w:rsid w:val="00997B76"/>
    <w:rsid w:val="009A2097"/>
    <w:rsid w:val="009A4F64"/>
    <w:rsid w:val="009B739D"/>
    <w:rsid w:val="009C5908"/>
    <w:rsid w:val="00A03A8F"/>
    <w:rsid w:val="00A3308C"/>
    <w:rsid w:val="00A348A1"/>
    <w:rsid w:val="00A505CC"/>
    <w:rsid w:val="00A57C74"/>
    <w:rsid w:val="00A61431"/>
    <w:rsid w:val="00A747E7"/>
    <w:rsid w:val="00A97A21"/>
    <w:rsid w:val="00B343C7"/>
    <w:rsid w:val="00B41AEC"/>
    <w:rsid w:val="00B53AA3"/>
    <w:rsid w:val="00B86B48"/>
    <w:rsid w:val="00BA458C"/>
    <w:rsid w:val="00BB545A"/>
    <w:rsid w:val="00C15434"/>
    <w:rsid w:val="00C44520"/>
    <w:rsid w:val="00C62571"/>
    <w:rsid w:val="00CB269B"/>
    <w:rsid w:val="00D17060"/>
    <w:rsid w:val="00D314C1"/>
    <w:rsid w:val="00D34595"/>
    <w:rsid w:val="00D43065"/>
    <w:rsid w:val="00D55DA3"/>
    <w:rsid w:val="00D73673"/>
    <w:rsid w:val="00DB6ED3"/>
    <w:rsid w:val="00DC2544"/>
    <w:rsid w:val="00E05C06"/>
    <w:rsid w:val="00E50200"/>
    <w:rsid w:val="00E54E9C"/>
    <w:rsid w:val="00E62598"/>
    <w:rsid w:val="00EA3B8E"/>
    <w:rsid w:val="00EA5066"/>
    <w:rsid w:val="00EB41B3"/>
    <w:rsid w:val="00EC64AF"/>
    <w:rsid w:val="00ED44FF"/>
    <w:rsid w:val="00ED583C"/>
    <w:rsid w:val="00F14A5D"/>
    <w:rsid w:val="00F26C4D"/>
    <w:rsid w:val="00F67561"/>
    <w:rsid w:val="00F80EE1"/>
    <w:rsid w:val="00F96981"/>
    <w:rsid w:val="00F970C6"/>
    <w:rsid w:val="00FC778C"/>
    <w:rsid w:val="00FD3C8E"/>
    <w:rsid w:val="00FD44AC"/>
    <w:rsid w:val="00FD4681"/>
    <w:rsid w:val="00FD6E4F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83C1B"/>
  <w15:chartTrackingRefBased/>
  <w15:docId w15:val="{5D978181-5D07-490E-A607-C3CBE65B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B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48"/>
  </w:style>
  <w:style w:type="paragraph" w:styleId="Footer">
    <w:name w:val="footer"/>
    <w:basedOn w:val="Normal"/>
    <w:link w:val="FooterChar"/>
    <w:uiPriority w:val="99"/>
    <w:unhideWhenUsed/>
    <w:rsid w:val="00B8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48"/>
  </w:style>
  <w:style w:type="paragraph" w:styleId="ListParagraph">
    <w:name w:val="List Paragraph"/>
    <w:basedOn w:val="Normal"/>
    <w:uiPriority w:val="34"/>
    <w:qFormat/>
    <w:rsid w:val="000F1F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4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520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970C6"/>
  </w:style>
  <w:style w:type="paragraph" w:styleId="Revision">
    <w:name w:val="Revision"/>
    <w:hidden/>
    <w:uiPriority w:val="99"/>
    <w:semiHidden/>
    <w:rsid w:val="009876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5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fco@aafc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FBF85-7C21-4F93-BEB4-1D7A911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Kitade</dc:creator>
  <cp:keywords/>
  <dc:description/>
  <cp:lastModifiedBy>Danielle Naylor</cp:lastModifiedBy>
  <cp:revision>7</cp:revision>
  <cp:lastPrinted>2022-01-04T19:54:00Z</cp:lastPrinted>
  <dcterms:created xsi:type="dcterms:W3CDTF">2022-07-29T19:06:00Z</dcterms:created>
  <dcterms:modified xsi:type="dcterms:W3CDTF">2023-02-23T21:33:00Z</dcterms:modified>
</cp:coreProperties>
</file>